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979"/>
        </w:tabs>
        <w:rPr>
          <w:b/>
          <w:sz w:val="22"/>
        </w:rPr>
      </w:pPr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979"/>
        </w:tabs>
        <w:rPr>
          <w:sz w:val="22"/>
        </w:rPr>
      </w:pPr>
    </w:p>
    <w:p>
      <w:pPr>
        <w:tabs>
          <w:tab w:val="left" w:pos="1804"/>
        </w:tabs>
        <w:rPr>
          <w:szCs w:val="24"/>
        </w:rPr>
      </w:pPr>
      <w:r>
        <w:rPr>
          <w:szCs w:val="24"/>
        </w:rPr>
        <w:t>July 22, 2017</w:t>
      </w:r>
    </w:p>
    <w:p>
      <w:pPr>
        <w:tabs>
          <w:tab w:val="left" w:pos="1804"/>
        </w:tabs>
        <w:rPr>
          <w:szCs w:val="24"/>
        </w:rPr>
      </w:pPr>
    </w:p>
    <w:p>
      <w:pPr>
        <w:tabs>
          <w:tab w:val="left" w:pos="1804"/>
        </w:tabs>
        <w:rPr>
          <w:szCs w:val="24"/>
        </w:rPr>
      </w:pPr>
      <w:r>
        <w:rPr>
          <w:b/>
          <w:szCs w:val="24"/>
        </w:rPr>
        <w:t>TO</w:t>
      </w:r>
      <w:r>
        <w:rPr>
          <w:szCs w:val="24"/>
        </w:rPr>
        <w:t>:</w:t>
      </w:r>
      <w:r>
        <w:rPr>
          <w:szCs w:val="24"/>
        </w:rPr>
        <w:tab/>
        <w:t>Judicial and Legal Community</w:t>
      </w:r>
    </w:p>
    <w:p>
      <w:pPr>
        <w:tabs>
          <w:tab w:val="left" w:pos="1804"/>
        </w:tabs>
        <w:rPr>
          <w:szCs w:val="24"/>
        </w:rPr>
      </w:pPr>
    </w:p>
    <w:p>
      <w:pPr>
        <w:tabs>
          <w:tab w:val="left" w:pos="1804"/>
        </w:tabs>
        <w:rPr>
          <w:szCs w:val="24"/>
        </w:rPr>
      </w:pPr>
      <w:r>
        <w:rPr>
          <w:b/>
          <w:szCs w:val="24"/>
        </w:rPr>
        <w:t>FROM</w:t>
      </w:r>
      <w:r>
        <w:rPr>
          <w:szCs w:val="24"/>
        </w:rPr>
        <w:t>:</w:t>
      </w:r>
      <w:r>
        <w:rPr>
          <w:szCs w:val="24"/>
        </w:rPr>
        <w:tab/>
        <w:t>Merrie Gough, AOC Sr. Legal Analyst</w:t>
      </w:r>
    </w:p>
    <w:p>
      <w:pPr>
        <w:tabs>
          <w:tab w:val="left" w:pos="1804"/>
        </w:tabs>
        <w:rPr>
          <w:szCs w:val="24"/>
        </w:rPr>
      </w:pPr>
    </w:p>
    <w:p>
      <w:pPr>
        <w:tabs>
          <w:tab w:val="left" w:pos="1804"/>
        </w:tabs>
        <w:ind w:left="1800" w:hanging="1800"/>
        <w:rPr>
          <w:szCs w:val="24"/>
        </w:rPr>
      </w:pPr>
      <w:r>
        <w:rPr>
          <w:b/>
          <w:szCs w:val="24"/>
        </w:rPr>
        <w:t>RE</w:t>
      </w:r>
      <w:r>
        <w:rPr>
          <w:szCs w:val="24"/>
        </w:rPr>
        <w:t>:</w:t>
      </w:r>
      <w:r>
        <w:rPr>
          <w:szCs w:val="24"/>
        </w:rPr>
        <w:tab/>
        <w:t xml:space="preserve">2017 Amendment to the </w:t>
      </w:r>
      <w:proofErr w:type="spellStart"/>
      <w:r>
        <w:rPr>
          <w:szCs w:val="24"/>
        </w:rPr>
        <w:t>JuCR</w:t>
      </w:r>
      <w:proofErr w:type="spellEnd"/>
      <w:r>
        <w:rPr>
          <w:szCs w:val="24"/>
        </w:rPr>
        <w:t xml:space="preserve"> 7.7 Guilty Plea </w:t>
      </w:r>
    </w:p>
    <w:p>
      <w:pPr>
        <w:tabs>
          <w:tab w:val="left" w:pos="1979"/>
        </w:tabs>
        <w:rPr>
          <w:sz w:val="22"/>
        </w:rPr>
      </w:pPr>
    </w:p>
    <w:p>
      <w:pPr>
        <w:tabs>
          <w:tab w:val="left" w:pos="1979"/>
        </w:tabs>
        <w:rPr>
          <w:rFonts w:eastAsia="Calibri"/>
        </w:rPr>
      </w:pPr>
      <w:r>
        <w:rPr>
          <w:rFonts w:eastAsia="Calibri"/>
        </w:rPr>
        <w:t xml:space="preserve">On June 28, 2017, the Washington State Supreme Court adopted an amendment to the </w:t>
      </w:r>
      <w:proofErr w:type="spellStart"/>
      <w:r>
        <w:rPr>
          <w:rFonts w:eastAsia="Calibri"/>
        </w:rPr>
        <w:t>JuCR</w:t>
      </w:r>
      <w:proofErr w:type="spellEnd"/>
      <w:r>
        <w:rPr>
          <w:rFonts w:eastAsia="Calibri"/>
        </w:rPr>
        <w:t xml:space="preserve"> 7.7 Statement on Plea of Guilty.  The amendment will become effective when it is published in the Official Advance Sheets, Washington Reports, 188 </w:t>
      </w:r>
      <w:proofErr w:type="spellStart"/>
      <w:r>
        <w:rPr>
          <w:rFonts w:eastAsia="Calibri"/>
        </w:rPr>
        <w:t>Wn</w:t>
      </w:r>
      <w:proofErr w:type="spellEnd"/>
      <w:r>
        <w:rPr>
          <w:rFonts w:eastAsia="Calibri"/>
        </w:rPr>
        <w:t>. 2d No 7. The anticipated publication date is August 1, 2017.</w:t>
      </w:r>
    </w:p>
    <w:p>
      <w:pPr>
        <w:tabs>
          <w:tab w:val="left" w:pos="1979"/>
        </w:tabs>
        <w:rPr>
          <w:szCs w:val="24"/>
        </w:rPr>
      </w:pPr>
    </w:p>
    <w:p>
      <w:pPr>
        <w:rPr>
          <w:rFonts w:eastAsia="Calibri"/>
          <w:color w:val="000000" w:themeColor="text1"/>
        </w:rPr>
      </w:pPr>
      <w:r>
        <w:rPr>
          <w:rFonts w:eastAsia="Calibri"/>
        </w:rPr>
        <w:t>The amendment is based upon</w:t>
      </w:r>
      <w:r>
        <w:rPr>
          <w:rFonts w:eastAsia="Calibri"/>
          <w:color w:val="000000" w:themeColor="text1"/>
        </w:rPr>
        <w:t xml:space="preserve"> Laws of 2017, </w:t>
      </w:r>
      <w:proofErr w:type="spellStart"/>
      <w:r>
        <w:rPr>
          <w:rFonts w:eastAsia="Calibri"/>
          <w:color w:val="000000" w:themeColor="text1"/>
        </w:rPr>
        <w:t>ch.</w:t>
      </w:r>
      <w:proofErr w:type="spellEnd"/>
      <w:r>
        <w:rPr>
          <w:rFonts w:eastAsia="Calibri"/>
          <w:color w:val="000000" w:themeColor="text1"/>
        </w:rPr>
        <w:t xml:space="preserve"> 272 (E2SHB 1163), relating to domestic violence.</w:t>
      </w:r>
    </w:p>
    <w:p>
      <w:pPr>
        <w:rPr>
          <w:color w:val="000000" w:themeColor="text1"/>
          <w:szCs w:val="24"/>
        </w:rPr>
      </w:pPr>
    </w:p>
    <w:p>
      <w:pPr>
        <w:tabs>
          <w:tab w:val="left" w:pos="1979"/>
        </w:tabs>
        <w:rPr>
          <w:szCs w:val="24"/>
        </w:rPr>
      </w:pPr>
      <w:r>
        <w:rPr>
          <w:szCs w:val="24"/>
        </w:rPr>
        <w:t>The following table contains detailed descriptions of the proposed amendment:</w:t>
      </w:r>
    </w:p>
    <w:p>
      <w:pPr>
        <w:tabs>
          <w:tab w:val="left" w:pos="1979"/>
        </w:tabs>
        <w:rPr>
          <w:sz w:val="22"/>
        </w:rPr>
      </w:pPr>
    </w:p>
    <w:tbl>
      <w:tblPr>
        <w:tblStyle w:val="TableGrid"/>
        <w:tblW w:w="959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>
        <w:trPr>
          <w:trHeight w:val="163"/>
        </w:trPr>
        <w:tc>
          <w:tcPr>
            <w:tcW w:w="9590" w:type="dxa"/>
          </w:tcPr>
          <w:p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JuCR</w:t>
            </w:r>
            <w:proofErr w:type="spellEnd"/>
            <w:r>
              <w:rPr>
                <w:b/>
                <w:szCs w:val="24"/>
              </w:rPr>
              <w:t xml:space="preserve"> 7.7, Statement on Plea of Guilty</w:t>
            </w:r>
          </w:p>
        </w:tc>
      </w:tr>
      <w:tr>
        <w:trPr>
          <w:trHeight w:val="478"/>
        </w:trPr>
        <w:tc>
          <w:tcPr>
            <w:tcW w:w="9590" w:type="dxa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RCW 43.43.754(1) requires the collection of a biological sample for DNA identification analysis from adult and juveniles who are convicted of specified crimes or equivalent juvenile offenses.  </w:t>
            </w:r>
            <w:r>
              <w:rPr>
                <w:rFonts w:eastAsia="Calibri"/>
                <w:color w:val="000000" w:themeColor="text1"/>
              </w:rPr>
              <w:t xml:space="preserve">Laws of 2017, </w:t>
            </w:r>
            <w:proofErr w:type="spellStart"/>
            <w:r>
              <w:rPr>
                <w:rFonts w:eastAsia="Calibri"/>
                <w:color w:val="000000" w:themeColor="text1"/>
              </w:rPr>
              <w:t>ch.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272</w:t>
            </w:r>
            <w:r>
              <w:rPr>
                <w:spacing w:val="-2"/>
                <w:szCs w:val="24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color w:val="000000" w:themeColor="text1"/>
                <w:szCs w:val="24"/>
              </w:rPr>
              <w:t>§4 amended RCW 43.43.754(1)(a) by adding a new crime or juvenile offense: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ind w:left="720"/>
              <w:rPr>
                <w:color w:val="000000" w:themeColor="text1"/>
                <w:szCs w:val="24"/>
              </w:rPr>
            </w:pPr>
            <w:proofErr w:type="gramStart"/>
            <w:r>
              <w:rPr>
                <w:color w:val="000000" w:themeColor="text1"/>
                <w:szCs w:val="24"/>
              </w:rPr>
              <w:t>“…(</w:t>
            </w:r>
            <w:proofErr w:type="gramEnd"/>
            <w:r>
              <w:rPr>
                <w:color w:val="000000" w:themeColor="text1"/>
                <w:szCs w:val="24"/>
              </w:rPr>
              <w:t>1)(a)(</w:t>
            </w:r>
            <w:proofErr w:type="spellStart"/>
            <w:r>
              <w:rPr>
                <w:color w:val="000000" w:themeColor="text1"/>
                <w:szCs w:val="24"/>
              </w:rPr>
              <w:t>i</w:t>
            </w:r>
            <w:proofErr w:type="spellEnd"/>
            <w:r>
              <w:rPr>
                <w:color w:val="000000" w:themeColor="text1"/>
                <w:szCs w:val="24"/>
              </w:rPr>
              <w:t>) Assault in the fourth degree where domestic violence as defined in RCW 9.94A.030 was pleaded and proven (RCW 9A.36.041, 9.94A.030);…”</w:t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</w:p>
          <w:p>
            <w:pPr>
              <w:tabs>
                <w:tab w:val="left" w:pos="630"/>
              </w:tabs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To implement </w:t>
            </w:r>
            <w:r>
              <w:rPr>
                <w:rFonts w:eastAsia="Calibri"/>
                <w:color w:val="000000" w:themeColor="text1"/>
              </w:rPr>
              <w:t xml:space="preserve">Laws of 2017, </w:t>
            </w:r>
            <w:proofErr w:type="spellStart"/>
            <w:r>
              <w:rPr>
                <w:rFonts w:eastAsia="Calibri"/>
                <w:color w:val="000000" w:themeColor="text1"/>
              </w:rPr>
              <w:t>ch.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272</w:t>
            </w:r>
            <w:r>
              <w:rPr>
                <w:spacing w:val="-2"/>
                <w:szCs w:val="24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color w:val="000000" w:themeColor="text1"/>
                <w:szCs w:val="24"/>
              </w:rPr>
              <w:t>§4, change paragraph 12[C] as follows:</w:t>
            </w:r>
          </w:p>
          <w:p>
            <w:pPr>
              <w:tabs>
                <w:tab w:val="left" w:pos="630"/>
              </w:tabs>
              <w:rPr>
                <w:color w:val="000000" w:themeColor="text1"/>
                <w:sz w:val="20"/>
                <w:szCs w:val="20"/>
              </w:rPr>
            </w:pPr>
          </w:p>
          <w:p>
            <w:pPr>
              <w:tabs>
                <w:tab w:val="left" w:pos="630"/>
              </w:tabs>
              <w:ind w:left="690" w:firstLine="30"/>
              <w:rPr>
                <w:sz w:val="22"/>
              </w:rPr>
            </w:pPr>
            <w:r>
              <w:rPr>
                <w:szCs w:val="24"/>
              </w:rPr>
              <w:t xml:space="preserve">DNA TESTING:  Pursuant to RCW 43.43.754, if this crime involves a felony, or an offense which requires sex or kidnapping offender registration, or any of the following offenses:  stalking, harassment, communication with a minor for immoral purposes, </w:t>
            </w:r>
            <w:r>
              <w:rPr>
                <w:szCs w:val="24"/>
                <w:u w:val="single"/>
              </w:rPr>
              <w:t>assault in the fourth degree where domestic violence was pleaded and proved</w:t>
            </w:r>
            <w:bookmarkStart w:id="0" w:name="_GoBack"/>
            <w:bookmarkEnd w:id="0"/>
            <w:r>
              <w:rPr>
                <w:szCs w:val="24"/>
              </w:rPr>
              <w:t xml:space="preserve">, assault in the fourth degree with sexual motivation, custodial sexual misconduct in the second degree, failure to register as a sex or kidnapping offender, patronizing a prostitute, sexual misconduct with a minor in the second degree, or violation of a sexual assault protection order, I will be required to have a biological sample collected for purposes of DNA identification analysis.  This paragraph does not apply if it is established that the Washington </w:t>
            </w:r>
            <w:r>
              <w:rPr>
                <w:szCs w:val="24"/>
              </w:rPr>
              <w:lastRenderedPageBreak/>
              <w:t>State Patrol crime laboratory already has a sample from me for a qualifying offense.</w:t>
            </w:r>
          </w:p>
        </w:tc>
      </w:tr>
    </w:tbl>
    <w:p>
      <w:pPr>
        <w:rPr>
          <w:sz w:val="22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sz w:val="20"/>
        <w:szCs w:val="20"/>
      </w:rPr>
    </w:pPr>
    <w:r>
      <w:rPr>
        <w:sz w:val="20"/>
        <w:szCs w:val="20"/>
      </w:rPr>
      <w:t>Judicial and Legal Community</w:t>
    </w:r>
  </w:p>
  <w:p>
    <w:pPr>
      <w:pStyle w:val="Header"/>
      <w:rPr>
        <w:sz w:val="20"/>
        <w:szCs w:val="20"/>
      </w:rPr>
    </w:pPr>
    <w:r>
      <w:rPr>
        <w:sz w:val="20"/>
        <w:szCs w:val="20"/>
      </w:rPr>
      <w:t>July, 2017</w:t>
    </w:r>
  </w:p>
  <w:sdt>
    <w:sdtPr>
      <w:id w:val="250395305"/>
      <w:docPartObj>
        <w:docPartGallery w:val="Page Numbers (Top of Page)"/>
        <w:docPartUnique/>
      </w:docPartObj>
    </w:sdtPr>
    <w:sdtContent>
      <w:p>
        <w:r>
          <w:rPr>
            <w:sz w:val="20"/>
            <w:szCs w:val="20"/>
          </w:rPr>
          <w:t xml:space="preserve">Page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3EB"/>
    <w:multiLevelType w:val="hybridMultilevel"/>
    <w:tmpl w:val="790A1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36C"/>
    <w:multiLevelType w:val="hybridMultilevel"/>
    <w:tmpl w:val="038A15CC"/>
    <w:lvl w:ilvl="0" w:tplc="36DC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E86"/>
    <w:multiLevelType w:val="hybridMultilevel"/>
    <w:tmpl w:val="8394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730E2"/>
    <w:multiLevelType w:val="hybridMultilevel"/>
    <w:tmpl w:val="F55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E8F064E"/>
    <w:multiLevelType w:val="hybridMultilevel"/>
    <w:tmpl w:val="6088983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B7D40"/>
    <w:multiLevelType w:val="hybridMultilevel"/>
    <w:tmpl w:val="A20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50C0"/>
    <w:multiLevelType w:val="hybridMultilevel"/>
    <w:tmpl w:val="301E50A2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A4C98"/>
    <w:multiLevelType w:val="hybridMultilevel"/>
    <w:tmpl w:val="6552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B27A8"/>
    <w:multiLevelType w:val="hybridMultilevel"/>
    <w:tmpl w:val="A4106148"/>
    <w:lvl w:ilvl="0" w:tplc="3B5C91EC">
      <w:start w:val="1"/>
      <w:numFmt w:val="decimal"/>
      <w:lvlText w:val="(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7978"/>
    <w:multiLevelType w:val="hybridMultilevel"/>
    <w:tmpl w:val="EBC6AB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B6EC1"/>
    <w:multiLevelType w:val="hybridMultilevel"/>
    <w:tmpl w:val="0756F2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267B3D"/>
    <w:multiLevelType w:val="hybridMultilevel"/>
    <w:tmpl w:val="6BC007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EC4CD3"/>
    <w:multiLevelType w:val="hybridMultilevel"/>
    <w:tmpl w:val="12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2FAA"/>
    <w:multiLevelType w:val="hybridMultilevel"/>
    <w:tmpl w:val="24C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37316"/>
    <w:multiLevelType w:val="hybridMultilevel"/>
    <w:tmpl w:val="C91247C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4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28"/>
  </w:num>
  <w:num w:numId="10">
    <w:abstractNumId w:val="8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0"/>
  </w:num>
  <w:num w:numId="16">
    <w:abstractNumId w:val="26"/>
  </w:num>
  <w:num w:numId="17">
    <w:abstractNumId w:val="21"/>
  </w:num>
  <w:num w:numId="18">
    <w:abstractNumId w:val="22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4"/>
  </w:num>
  <w:num w:numId="27">
    <w:abstractNumId w:val="9"/>
  </w:num>
  <w:num w:numId="28">
    <w:abstractNumId w:val="20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2017-07-22T23:13:00Z</dcterms:created>
  <dcterms:modified xsi:type="dcterms:W3CDTF">2017-07-23T00:10:00Z</dcterms:modified>
</cp:coreProperties>
</file>